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2016 –  2018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2016 –  2018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№188 от 28.0</w:t>
      </w: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>2017</w:t>
      </w:r>
      <w:bookmarkStart w:id="0" w:name="_GoBack"/>
      <w:bookmarkEnd w:id="0"/>
      <w:r>
        <w:rPr>
          <w:sz w:val="28"/>
          <w:szCs w:val="28"/>
          <w:lang w:eastAsia="en-US"/>
        </w:rPr>
        <w:t>г. «О  внесении изменений  в постановление Правительства Самарской области от 19.02.2013 № 44  «</w:t>
      </w:r>
      <w:r>
        <w:rPr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sz w:val="28"/>
          <w:szCs w:val="28"/>
          <w:lang w:eastAsia="en-US"/>
        </w:rPr>
        <w:t>».</w:t>
      </w:r>
    </w:p>
    <w:p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вносятся изменения в части изложения </w:t>
      </w:r>
      <w:r>
        <w:rPr>
          <w:sz w:val="28"/>
          <w:szCs w:val="28"/>
          <w:lang w:eastAsia="en-US"/>
        </w:rPr>
        <w:t>Порядка предоставления в 2016 –  2018 годах субсидий сельскохозяйственным товаропроизводителям, организациям потребительской кооперации и организациям агропромышленного комплекса, осуществляющим свою деятельность на территории  Самарской области, в целях возмещения части процентной ставки по краткосрочным кредитам (займам)</w:t>
      </w:r>
      <w:r>
        <w:rPr>
          <w:sz w:val="28"/>
          <w:szCs w:val="28"/>
        </w:rPr>
        <w:t>, в новой редакции.</w:t>
      </w:r>
    </w:p>
    <w:p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Проект также разработан в целях реализации муниципальной программы «Развитие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области» на 2013 –2020 годы, утверждённой постановлением администрации муниципального района Хворостянский района Самарской области от 26 марта 2013 года №141</w:t>
      </w:r>
      <w:r>
        <w:rPr>
          <w:color w:val="FF0000"/>
          <w:sz w:val="28"/>
          <w:szCs w:val="28"/>
        </w:rPr>
        <w:t>.</w:t>
      </w:r>
    </w:p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предусматривается внесение изменений в Порядок в части приведения в соответствие с положениями постановления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и с учётом изменений, внесённых в  постановление Правительства Российской Федерации от 28.12.2012 № 1460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 (постановления Правительства Российской Федерации от 29.12.2016 № 1528, от 30.12.2016 </w:t>
      </w:r>
      <w:r>
        <w:fldChar w:fldCharType="begin"/>
      </w:r>
      <w:r>
        <w:instrText xml:space="preserve">HYPERLINK "consultantplus://offline/ref=85B3429E2385A3FDF93596CF1E9F6C12F4A20BEC19FD6A6858DB5385DD335E4BF1C8664F544B1C2BzAX7E" </w:instrText>
      </w:r>
      <w:r>
        <w:fldChar w:fldCharType="separate"/>
      </w:r>
      <w:r>
        <w:rPr>
          <w:sz w:val="28"/>
          <w:szCs w:val="28"/>
        </w:rPr>
        <w:t>№ 1556</w:t>
      </w:r>
      <w:r>
        <w:fldChar w:fldCharType="end"/>
      </w:r>
      <w:r>
        <w:rPr>
          <w:sz w:val="28"/>
          <w:szCs w:val="28"/>
        </w:rPr>
        <w:t xml:space="preserve">, от 23.01.2017 № 49). </w:t>
      </w:r>
    </w:p>
    <w:tbl>
      <w:tblPr>
        <w:tblStyle w:val="9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FF9C9A7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0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1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19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7"/>
    <w:uiPriority w:val="99"/>
    <w:pPr>
      <w:tabs>
        <w:tab w:val="center" w:pos="4677"/>
        <w:tab w:val="right" w:pos="9355"/>
      </w:tabs>
    </w:pPr>
  </w:style>
  <w:style w:type="character" w:styleId="8">
    <w:name w:val="page number"/>
    <w:basedOn w:val="7"/>
    <w:uiPriority w:val="99"/>
    <w:rPr/>
  </w:style>
  <w:style w:type="table" w:styleId="10">
    <w:name w:val="Table Grid"/>
    <w:basedOn w:val="9"/>
    <w:uiPriority w:val="99"/>
    <w:pPr/>
    <w:rPr>
      <w:sz w:val="20"/>
      <w:szCs w:val="20"/>
    </w:r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2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3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paragraph" w:customStyle="1" w:styleId="14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5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bidi="ar-SA"/>
    </w:rPr>
  </w:style>
  <w:style w:type="character" w:customStyle="1" w:styleId="17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8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19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0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1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620</Words>
  <Characters>3538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2017-04-18T19:32:21Z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